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4CD" w:rsidRPr="00514466" w:rsidRDefault="002A0625" w:rsidP="00031EF6">
      <w:pPr>
        <w:jc w:val="center"/>
        <w:rPr>
          <w:rFonts w:ascii="PMingLiU" w:hAnsi="PMingLiU" w:cs="PMingLiU"/>
          <w:sz w:val="24"/>
          <w:szCs w:val="24"/>
          <w:lang w:eastAsia="zh-TW"/>
        </w:rPr>
      </w:pPr>
      <w:r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徹底加強邊境管制新措施</w:t>
      </w:r>
    </w:p>
    <w:p w:rsidR="002A0625" w:rsidRPr="00514466" w:rsidRDefault="002A0625" w:rsidP="00031EF6">
      <w:pPr>
        <w:rPr>
          <w:rFonts w:ascii="PMingLiU" w:hAnsi="PMingLiU" w:cs="PMingLiU"/>
          <w:sz w:val="24"/>
          <w:szCs w:val="24"/>
          <w:lang w:eastAsia="zh-TW"/>
        </w:rPr>
      </w:pPr>
    </w:p>
    <w:p w:rsidR="002A0625" w:rsidRPr="00514466" w:rsidRDefault="002A0625" w:rsidP="00514466">
      <w:pPr>
        <w:pStyle w:val="a3"/>
        <w:numPr>
          <w:ilvl w:val="0"/>
          <w:numId w:val="1"/>
        </w:numPr>
        <w:spacing w:after="240" w:line="276" w:lineRule="auto"/>
        <w:ind w:leftChars="0"/>
        <w:rPr>
          <w:rFonts w:ascii="PMingLiU" w:eastAsia="PMingLiU" w:hAnsi="PMingLiU" w:cs="PMingLiU"/>
          <w:sz w:val="24"/>
          <w:szCs w:val="24"/>
          <w:lang w:eastAsia="zh-TW"/>
        </w:rPr>
      </w:pPr>
      <w:r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持續評估拒絕入境之對象地區</w:t>
      </w:r>
      <w:r w:rsidRPr="00514466">
        <w:rPr>
          <w:rFonts w:ascii="PMingLiU" w:hAnsi="PMingLiU" w:cs="PMingLiU"/>
          <w:sz w:val="24"/>
          <w:szCs w:val="24"/>
          <w:lang w:eastAsia="zh-TW"/>
        </w:rPr>
        <w:br/>
      </w:r>
      <w:r w:rsidR="00F03C7B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依據日本入管法拒絕入境之</w:t>
      </w:r>
      <w:r w:rsidR="00D60B5B" w:rsidRPr="00FA1D1B">
        <w:rPr>
          <w:rFonts w:ascii="PMingLiU" w:eastAsia="PMingLiU" w:hAnsi="PMingLiU" w:hint="eastAsia"/>
          <w:sz w:val="24"/>
          <w:lang w:eastAsia="zh-TW"/>
        </w:rPr>
        <w:t>列管</w:t>
      </w:r>
      <w:r w:rsidR="00F03C7B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地區新增</w:t>
      </w:r>
      <w:r w:rsidR="006B478E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下列</w:t>
      </w:r>
      <w:r w:rsidR="001E4E3B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14</w:t>
      </w:r>
      <w:r w:rsidR="006B478E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個國家</w:t>
      </w:r>
      <w:r w:rsidR="005A7DC3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(注1)</w:t>
      </w:r>
      <w:r w:rsidR="00F03C7B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。入境日本前14</w:t>
      </w:r>
      <w:r w:rsidR="004A598E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天內曾入境過</w:t>
      </w:r>
      <w:r w:rsidR="005A7DC3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下</w:t>
      </w:r>
      <w:r w:rsidR="00F03C7B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述國家</w:t>
      </w:r>
      <w:r w:rsidR="004A598E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或地區</w:t>
      </w:r>
      <w:r w:rsidR="00F03C7B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="00F03C7B" w:rsidRPr="00514466">
        <w:rPr>
          <w:rFonts w:ascii="Arial Narrow" w:eastAsia="PMingLiU" w:hAnsi="Arial Narrow"/>
          <w:sz w:val="24"/>
          <w:szCs w:val="24"/>
          <w:lang w:eastAsia="zh-TW"/>
        </w:rPr>
        <w:t>又無特別原因，則</w:t>
      </w:r>
      <w:r w:rsidR="00F03C7B" w:rsidRPr="00514466">
        <w:rPr>
          <w:rFonts w:ascii="Arial Narrow" w:eastAsia="PMingLiU" w:hAnsi="Arial Narrow" w:hint="eastAsia"/>
          <w:sz w:val="24"/>
          <w:szCs w:val="24"/>
          <w:lang w:eastAsia="zh-TW"/>
        </w:rPr>
        <w:t>可</w:t>
      </w:r>
      <w:r w:rsidR="00F03C7B" w:rsidRPr="00514466">
        <w:rPr>
          <w:rFonts w:ascii="Arial Narrow" w:eastAsia="PMingLiU" w:hAnsi="Arial Narrow"/>
          <w:sz w:val="24"/>
          <w:szCs w:val="24"/>
          <w:lang w:eastAsia="zh-TW"/>
        </w:rPr>
        <w:t>拒絕其入境</w:t>
      </w:r>
      <w:r w:rsidR="005A7DC3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(注2)</w:t>
      </w:r>
      <w:r w:rsidR="00F03C7B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。</w:t>
      </w:r>
    </w:p>
    <w:p w:rsidR="004A598E" w:rsidRPr="00514466" w:rsidRDefault="001E4E3B" w:rsidP="00514466">
      <w:pPr>
        <w:spacing w:after="240" w:line="276" w:lineRule="auto"/>
        <w:ind w:left="360"/>
        <w:rPr>
          <w:rFonts w:ascii="PMingLiU" w:eastAsia="PMingLiU" w:hAnsi="PMingLiU" w:cs="PMingLiU"/>
          <w:sz w:val="23"/>
          <w:szCs w:val="23"/>
          <w:lang w:eastAsia="zh-TW"/>
        </w:rPr>
      </w:pPr>
      <w:r w:rsidRPr="00514466">
        <w:rPr>
          <w:rFonts w:ascii="Arial Narrow" w:eastAsia="PMingLiU" w:hAnsi="Arial Narrow" w:hint="eastAsia"/>
          <w:sz w:val="23"/>
          <w:szCs w:val="23"/>
          <w:lang w:eastAsia="zh-TW"/>
        </w:rPr>
        <w:t>阿拉伯聯合大公國、安地卡及巴布達</w:t>
      </w:r>
      <w:r w:rsidR="005A7DC3" w:rsidRPr="00514466">
        <w:rPr>
          <w:rFonts w:ascii="Arial Narrow" w:eastAsia="PMingLiU" w:hAnsi="Arial Narrow" w:hint="eastAsia"/>
          <w:sz w:val="23"/>
          <w:szCs w:val="23"/>
          <w:lang w:eastAsia="zh-TW"/>
        </w:rPr>
        <w:t>、</w:t>
      </w:r>
      <w:r w:rsidRPr="00514466">
        <w:rPr>
          <w:rFonts w:ascii="Arial Narrow" w:eastAsia="PMingLiU" w:hAnsi="Arial Narrow" w:hint="eastAsia"/>
          <w:sz w:val="23"/>
          <w:szCs w:val="23"/>
          <w:lang w:eastAsia="zh-TW"/>
        </w:rPr>
        <w:t>烏克蘭、阿曼、卡達、科威特、沙烏地阿拉伯、吉布地、聖克里斯多福及尼</w:t>
      </w:r>
      <w:bookmarkStart w:id="0" w:name="_GoBack"/>
      <w:bookmarkEnd w:id="0"/>
      <w:r w:rsidRPr="00514466">
        <w:rPr>
          <w:rFonts w:ascii="Arial Narrow" w:eastAsia="PMingLiU" w:hAnsi="Arial Narrow" w:hint="eastAsia"/>
          <w:sz w:val="23"/>
          <w:szCs w:val="23"/>
          <w:lang w:eastAsia="zh-TW"/>
        </w:rPr>
        <w:t>維斯、多明尼加共和國、巴貝多、白俄羅斯、秘魯、</w:t>
      </w:r>
      <w:r w:rsidR="00EE613F" w:rsidRPr="00514466">
        <w:rPr>
          <w:rFonts w:ascii="Arial Narrow" w:eastAsia="PMingLiU" w:hAnsi="Arial Narrow" w:hint="eastAsia"/>
          <w:sz w:val="23"/>
          <w:szCs w:val="23"/>
          <w:lang w:eastAsia="zh-TW"/>
        </w:rPr>
        <w:t>俄羅斯</w:t>
      </w:r>
    </w:p>
    <w:p w:rsidR="004A598E" w:rsidRPr="00514466" w:rsidRDefault="004A598E" w:rsidP="00514466">
      <w:pPr>
        <w:spacing w:line="276" w:lineRule="auto"/>
        <w:ind w:left="360"/>
        <w:rPr>
          <w:rFonts w:ascii="PMingLiU" w:eastAsia="PMingLiU" w:hAnsi="PMingLiU" w:cs="PMingLiU"/>
          <w:sz w:val="23"/>
          <w:szCs w:val="23"/>
          <w:lang w:eastAsia="zh-TW"/>
        </w:rPr>
      </w:pPr>
      <w:r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(注1) 從本措施起，拒絕入境之對象地區合計共</w:t>
      </w:r>
      <w:r w:rsidR="001E4E3B"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87</w:t>
      </w:r>
      <w:r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個國家/地區。</w:t>
      </w:r>
    </w:p>
    <w:p w:rsidR="005A7DC3" w:rsidRPr="00514466" w:rsidRDefault="00253D26" w:rsidP="00514466">
      <w:pPr>
        <w:spacing w:after="240" w:line="276" w:lineRule="auto"/>
        <w:ind w:left="360"/>
        <w:rPr>
          <w:rFonts w:ascii="PMingLiU" w:eastAsia="PMingLiU" w:hAnsi="PMingLiU" w:cs="PMingLiU"/>
          <w:sz w:val="23"/>
          <w:szCs w:val="23"/>
          <w:lang w:eastAsia="zh-TW"/>
        </w:rPr>
      </w:pPr>
      <w:r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(注2)</w:t>
      </w:r>
      <w:r w:rsidR="003C0E52"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 xml:space="preserve"> 在</w:t>
      </w:r>
      <w:r w:rsidR="003C0E52" w:rsidRPr="00514466">
        <w:rPr>
          <w:rFonts w:ascii="PMingLiU" w:eastAsia="PMingLiU" w:hAnsi="PMingLiU" w:cs="PMingLiU"/>
          <w:sz w:val="23"/>
          <w:szCs w:val="23"/>
          <w:lang w:eastAsia="zh-TW"/>
        </w:rPr>
        <w:t>4月2</w:t>
      </w:r>
      <w:r w:rsidR="00EE613F"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8</w:t>
      </w:r>
      <w:r w:rsidR="003C0E52" w:rsidRPr="00514466">
        <w:rPr>
          <w:rFonts w:ascii="PMingLiU" w:eastAsia="PMingLiU" w:hAnsi="PMingLiU" w:cs="PMingLiU"/>
          <w:sz w:val="23"/>
          <w:szCs w:val="23"/>
          <w:lang w:eastAsia="zh-TW"/>
        </w:rPr>
        <w:t>日之前</w:t>
      </w:r>
      <w:r w:rsidR="003C0E52"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(含</w:t>
      </w:r>
      <w:r w:rsidR="003C0E52" w:rsidRPr="00514466">
        <w:rPr>
          <w:rFonts w:ascii="PMingLiU" w:eastAsia="PMingLiU" w:hAnsi="PMingLiU" w:cs="PMingLiU"/>
          <w:sz w:val="23"/>
          <w:szCs w:val="23"/>
          <w:lang w:eastAsia="zh-TW"/>
        </w:rPr>
        <w:t>4月2</w:t>
      </w:r>
      <w:r w:rsidR="00EE613F"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8</w:t>
      </w:r>
      <w:r w:rsidR="003C0E52" w:rsidRPr="00514466">
        <w:rPr>
          <w:rFonts w:ascii="PMingLiU" w:eastAsia="PMingLiU" w:hAnsi="PMingLiU" w:cs="PMingLiU"/>
          <w:sz w:val="23"/>
          <w:szCs w:val="23"/>
          <w:lang w:eastAsia="zh-TW"/>
        </w:rPr>
        <w:t>日</w:t>
      </w:r>
      <w:r w:rsidR="003C0E52"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)</w:t>
      </w:r>
      <w:r w:rsidR="003C0E52" w:rsidRPr="00514466">
        <w:rPr>
          <w:rFonts w:ascii="PMingLiU" w:eastAsia="PMingLiU" w:hAnsi="PMingLiU" w:cs="PMingLiU"/>
          <w:sz w:val="23"/>
          <w:szCs w:val="23"/>
          <w:lang w:eastAsia="zh-TW"/>
        </w:rPr>
        <w:t>獲得</w:t>
      </w:r>
      <w:r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再入國許可的「永住者」</w:t>
      </w:r>
      <w:r w:rsidRPr="00514466">
        <w:rPr>
          <w:rFonts w:ascii="Arial Narrow" w:eastAsia="PMingLiU" w:hAnsi="Arial Narrow" w:hint="eastAsia"/>
          <w:sz w:val="23"/>
          <w:szCs w:val="23"/>
          <w:lang w:eastAsia="zh-TW"/>
        </w:rPr>
        <w:t>、</w:t>
      </w:r>
      <w:r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「日本人的配偶者等」</w:t>
      </w:r>
      <w:r w:rsidRPr="00514466">
        <w:rPr>
          <w:rFonts w:ascii="Arial Narrow" w:eastAsia="PMingLiU" w:hAnsi="Arial Narrow" w:hint="eastAsia"/>
          <w:sz w:val="23"/>
          <w:szCs w:val="23"/>
          <w:lang w:eastAsia="zh-TW"/>
        </w:rPr>
        <w:t>、</w:t>
      </w:r>
      <w:r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「永住者的配偶者等」又或是「定住</w:t>
      </w:r>
      <w:r w:rsidR="00F737EC"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者</w:t>
      </w:r>
      <w:r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」</w:t>
      </w:r>
      <w:r w:rsidR="00F737EC"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之在留資格身份者，若從拒絕入境之對象地區</w:t>
      </w:r>
      <w:r w:rsidR="00EE613F"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的這14個國家</w:t>
      </w:r>
      <w:r w:rsidR="00F737EC"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再入境日本，原則上視為特殊原因。</w:t>
      </w:r>
      <w:r w:rsidR="00AC5574"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但對於</w:t>
      </w:r>
      <w:r w:rsidR="00F737EC"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4月</w:t>
      </w:r>
      <w:r w:rsidR="00EE613F"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29</w:t>
      </w:r>
      <w:r w:rsidR="00F737EC"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日之後從日本出</w:t>
      </w:r>
      <w:r w:rsidR="00AC5574"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境</w:t>
      </w:r>
      <w:r w:rsidR="00F737EC"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者，</w:t>
      </w:r>
      <w:r w:rsidR="00AC5574"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則不適用此規定。另外，為「特別永住者」之在留資格身份者，則</w:t>
      </w:r>
      <w:r w:rsidR="00294A7D"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不</w:t>
      </w:r>
      <w:r w:rsidR="00AC5574" w:rsidRPr="00514466">
        <w:rPr>
          <w:rFonts w:ascii="PMingLiU" w:eastAsia="PMingLiU" w:hAnsi="PMingLiU" w:cs="PMingLiU" w:hint="eastAsia"/>
          <w:sz w:val="23"/>
          <w:szCs w:val="23"/>
          <w:lang w:eastAsia="zh-TW"/>
        </w:rPr>
        <w:t>視為拒絕入境對象者。</w:t>
      </w:r>
    </w:p>
    <w:p w:rsidR="002A0625" w:rsidRPr="00514466" w:rsidRDefault="002A0625" w:rsidP="00514466">
      <w:pPr>
        <w:pStyle w:val="a3"/>
        <w:numPr>
          <w:ilvl w:val="0"/>
          <w:numId w:val="1"/>
        </w:numPr>
        <w:spacing w:after="240" w:line="276" w:lineRule="auto"/>
        <w:ind w:leftChars="0"/>
        <w:rPr>
          <w:sz w:val="24"/>
          <w:szCs w:val="24"/>
          <w:lang w:eastAsia="zh-TW"/>
        </w:rPr>
      </w:pPr>
      <w:r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加強檢疫</w:t>
      </w:r>
      <w:r w:rsidRPr="00514466">
        <w:rPr>
          <w:rFonts w:ascii="PMingLiU" w:eastAsia="PMingLiU" w:hAnsi="PMingLiU" w:cs="PMingLiU"/>
          <w:sz w:val="24"/>
          <w:szCs w:val="24"/>
          <w:lang w:eastAsia="zh-TW"/>
        </w:rPr>
        <w:br/>
      </w:r>
      <w:r w:rsidR="00574C39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關於14天內有</w:t>
      </w:r>
      <w:r w:rsidR="00574C39" w:rsidRPr="00514466">
        <w:rPr>
          <w:rFonts w:ascii="PMingLiU" w:eastAsia="PMingLiU" w:hAnsi="PMingLiU" w:hint="eastAsia"/>
          <w:sz w:val="24"/>
          <w:szCs w:val="24"/>
          <w:lang w:eastAsia="zh-TW"/>
        </w:rPr>
        <w:t>上述第一點</w:t>
      </w:r>
      <w:r w:rsidR="005F216A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等</w:t>
      </w:r>
      <w:r w:rsidR="00F96C9F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國家/</w:t>
      </w:r>
      <w:r w:rsidR="005F216A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地區</w:t>
      </w:r>
      <w:r w:rsidR="00574C39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旅遊史之</w:t>
      </w:r>
      <w:r w:rsidR="005F216A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入境日本者，</w:t>
      </w:r>
      <w:r w:rsidR="00574C39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皆為PCR檢查之實施對象。</w:t>
      </w:r>
    </w:p>
    <w:p w:rsidR="00EE613F" w:rsidRPr="00514466" w:rsidRDefault="00EE613F" w:rsidP="00514466">
      <w:pPr>
        <w:pStyle w:val="a3"/>
        <w:numPr>
          <w:ilvl w:val="0"/>
          <w:numId w:val="1"/>
        </w:numPr>
        <w:spacing w:line="276" w:lineRule="auto"/>
        <w:ind w:leftChars="0"/>
        <w:rPr>
          <w:rFonts w:ascii="PMingLiU" w:eastAsia="PMingLiU" w:hAnsi="PMingLiU" w:cs="PMingLiU"/>
          <w:sz w:val="24"/>
          <w:szCs w:val="24"/>
          <w:lang w:eastAsia="zh-TW"/>
        </w:rPr>
      </w:pPr>
      <w:r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繼續實施邊境管制措施</w:t>
      </w:r>
    </w:p>
    <w:p w:rsidR="00EE613F" w:rsidRPr="00514466" w:rsidRDefault="008F75CC" w:rsidP="00514466">
      <w:pPr>
        <w:pStyle w:val="a3"/>
        <w:spacing w:line="276" w:lineRule="auto"/>
        <w:ind w:leftChars="0" w:left="360"/>
        <w:rPr>
          <w:rFonts w:ascii="PMingLiU" w:eastAsia="PMingLiU" w:hAnsi="PMingLiU" w:cs="PMingLiU"/>
          <w:sz w:val="24"/>
          <w:szCs w:val="24"/>
          <w:lang w:eastAsia="zh-TW"/>
        </w:rPr>
      </w:pPr>
      <w:r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原適用</w:t>
      </w:r>
      <w:r w:rsidR="00EE613F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於第20次、第22次、第23次以及第25次新型冠狀病毒感染症對策本部(於2</w:t>
      </w:r>
      <w:r w:rsidR="00EE613F" w:rsidRPr="00514466">
        <w:rPr>
          <w:rFonts w:ascii="PMingLiU" w:eastAsia="PMingLiU" w:hAnsi="PMingLiU" w:cs="PMingLiU"/>
          <w:sz w:val="24"/>
          <w:szCs w:val="24"/>
          <w:lang w:eastAsia="zh-TW"/>
        </w:rPr>
        <w:t>020</w:t>
      </w:r>
      <w:r w:rsidR="00EE613F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年3月18日、23日、26日以及4月1日舉辦)</w:t>
      </w:r>
      <w:r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所</w:t>
      </w:r>
      <w:r w:rsidR="00EE613F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訂定實施至四月底之加強檢疫、簽證限制</w:t>
      </w:r>
      <w:r w:rsidR="00CC2232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等</w:t>
      </w:r>
      <w:r w:rsidR="00EE613F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、飛機抵達機場之限制</w:t>
      </w:r>
      <w:r w:rsidR="00CC2232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等以及降低入境日本之旅客數量</w:t>
      </w:r>
      <w:r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等措施之國家/地區，將持續實施至五月底。期間內可能有進一步更新。</w:t>
      </w:r>
    </w:p>
    <w:p w:rsidR="008021C3" w:rsidRPr="00514466" w:rsidRDefault="00514466" w:rsidP="00514466">
      <w:pPr>
        <w:spacing w:before="240" w:line="276" w:lineRule="auto"/>
        <w:ind w:left="360"/>
        <w:rPr>
          <w:rFonts w:ascii="PMingLiU" w:eastAsia="PMingLiU" w:hAnsi="PMingLiU" w:cs="PMingLiU"/>
          <w:sz w:val="24"/>
          <w:szCs w:val="24"/>
          <w:lang w:eastAsia="zh-TW"/>
        </w:rPr>
      </w:pPr>
      <w:r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*</w:t>
      </w:r>
      <w:r w:rsidR="008021C3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上述1</w:t>
      </w:r>
      <w:r w:rsidR="00D51022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及上述2</w:t>
      </w:r>
      <w:r w:rsidR="008021C3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之措施將自</w:t>
      </w:r>
      <w:r w:rsidR="00D51022" w:rsidRPr="00514466">
        <w:rPr>
          <w:rFonts w:ascii="PMingLiU" w:eastAsia="PMingLiU" w:hAnsi="PMingLiU" w:cs="PMingLiU"/>
          <w:sz w:val="24"/>
          <w:szCs w:val="24"/>
          <w:lang w:eastAsia="zh-TW"/>
        </w:rPr>
        <w:t>4</w:t>
      </w:r>
      <w:r w:rsidR="008021C3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月</w:t>
      </w:r>
      <w:r w:rsidR="008F75CC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29</w:t>
      </w:r>
      <w:r w:rsidR="009C7BB9">
        <w:rPr>
          <w:rFonts w:ascii="PMingLiU" w:eastAsia="PMingLiU" w:hAnsi="PMingLiU" w:cs="PMingLiU" w:hint="eastAsia"/>
          <w:sz w:val="24"/>
          <w:szCs w:val="24"/>
          <w:lang w:eastAsia="zh-TW"/>
        </w:rPr>
        <w:t>日凌晨零時開始實施。該措施也</w:t>
      </w:r>
      <w:r w:rsidR="008021C3" w:rsidRPr="00514466">
        <w:rPr>
          <w:rFonts w:ascii="PMingLiU" w:eastAsia="PMingLiU" w:hAnsi="PMingLiU" w:cs="PMingLiU" w:hint="eastAsia"/>
          <w:sz w:val="24"/>
          <w:szCs w:val="24"/>
          <w:lang w:eastAsia="zh-TW"/>
        </w:rPr>
        <w:t>適用於此日期前自上述地點出發並在措施實施後抵達日本之旅客。</w:t>
      </w:r>
    </w:p>
    <w:p w:rsidR="00F00487" w:rsidRPr="00F00487" w:rsidRDefault="00F00487" w:rsidP="00031EF6">
      <w:pPr>
        <w:rPr>
          <w:rFonts w:ascii="PMingLiU" w:eastAsia="PMingLiU" w:hAnsi="PMingLiU" w:cs="PMingLiU"/>
          <w:sz w:val="24"/>
          <w:szCs w:val="24"/>
          <w:lang w:eastAsia="zh-TW"/>
        </w:rPr>
      </w:pPr>
    </w:p>
    <w:sectPr w:rsidR="00F00487" w:rsidRPr="00F00487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AEB" w:rsidRDefault="00377AEB" w:rsidP="00F03C7B">
      <w:r>
        <w:separator/>
      </w:r>
    </w:p>
  </w:endnote>
  <w:endnote w:type="continuationSeparator" w:id="0">
    <w:p w:rsidR="00377AEB" w:rsidRDefault="00377AEB" w:rsidP="00F0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AEB" w:rsidRDefault="00377AEB" w:rsidP="00F03C7B">
      <w:r>
        <w:separator/>
      </w:r>
    </w:p>
  </w:footnote>
  <w:footnote w:type="continuationSeparator" w:id="0">
    <w:p w:rsidR="00377AEB" w:rsidRDefault="00377AEB" w:rsidP="00F03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7B" w:rsidRDefault="00F03C7B">
    <w:pPr>
      <w:pStyle w:val="a4"/>
      <w:rPr>
        <w:sz w:val="24"/>
        <w:szCs w:val="24"/>
      </w:rPr>
    </w:pP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sdt>
      <w:sdtPr>
        <w:rPr>
          <w:rFonts w:ascii="PMingLiU" w:eastAsia="PMingLiU" w:hAnsi="PMingLiU" w:cstheme="majorBidi" w:hint="eastAsia"/>
          <w:sz w:val="24"/>
          <w:szCs w:val="24"/>
        </w:rPr>
        <w:alias w:val="日付"/>
        <w:id w:val="78404859"/>
        <w:placeholder>
          <w:docPart w:val="A9BFEE6B550B48A0B1C239B77D3D9530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0-04-27T00:00:00Z">
          <w:dateFormat w:val="yyyy年M月d日"/>
          <w:lid w:val="ja-JP"/>
          <w:storeMappedDataAs w:val="dateTime"/>
          <w:calendar w:val="gregorian"/>
        </w:date>
      </w:sdtPr>
      <w:sdtEndPr/>
      <w:sdtContent>
        <w:r w:rsidRPr="00F03C7B">
          <w:rPr>
            <w:rFonts w:ascii="PMingLiU" w:eastAsia="ＭＳ 明朝" w:hAnsi="PMingLiU" w:cstheme="majorBidi" w:hint="eastAsia"/>
            <w:sz w:val="24"/>
            <w:szCs w:val="24"/>
          </w:rPr>
          <w:t>2020</w:t>
        </w:r>
        <w:r w:rsidRPr="00F03C7B">
          <w:rPr>
            <w:rFonts w:ascii="PMingLiU" w:eastAsia="ＭＳ 明朝" w:hAnsi="PMingLiU" w:cstheme="majorBidi" w:hint="eastAsia"/>
            <w:sz w:val="24"/>
            <w:szCs w:val="24"/>
          </w:rPr>
          <w:t>年</w:t>
        </w:r>
        <w:r w:rsidR="006B478E">
          <w:rPr>
            <w:rFonts w:ascii="PMingLiU" w:eastAsia="ＭＳ 明朝" w:hAnsi="PMingLiU" w:cstheme="majorBidi" w:hint="eastAsia"/>
            <w:sz w:val="24"/>
            <w:szCs w:val="24"/>
          </w:rPr>
          <w:t>4</w:t>
        </w:r>
        <w:r w:rsidRPr="00F03C7B">
          <w:rPr>
            <w:rFonts w:ascii="PMingLiU" w:eastAsia="ＭＳ 明朝" w:hAnsi="PMingLiU" w:cstheme="majorBidi" w:hint="eastAsia"/>
            <w:sz w:val="24"/>
            <w:szCs w:val="24"/>
          </w:rPr>
          <w:t>月</w:t>
        </w:r>
        <w:r w:rsidR="001E4E3B">
          <w:rPr>
            <w:rFonts w:ascii="PMingLiU" w:eastAsia="ＭＳ 明朝" w:hAnsi="PMingLiU" w:cstheme="majorBidi" w:hint="eastAsia"/>
            <w:sz w:val="24"/>
            <w:szCs w:val="24"/>
          </w:rPr>
          <w:t>27</w:t>
        </w:r>
        <w:r w:rsidRPr="00F03C7B">
          <w:rPr>
            <w:rFonts w:ascii="PMingLiU" w:eastAsia="ＭＳ 明朝" w:hAnsi="PMingLiU" w:cstheme="majorBidi" w:hint="eastAsia"/>
            <w:sz w:val="24"/>
            <w:szCs w:val="24"/>
          </w:rPr>
          <w:t>日</w:t>
        </w:r>
      </w:sdtContent>
    </w:sdt>
  </w:p>
  <w:p w:rsidR="00F03C7B" w:rsidRPr="00F03C7B" w:rsidRDefault="00F03C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24F78"/>
    <w:multiLevelType w:val="multilevel"/>
    <w:tmpl w:val="5F6886AC"/>
    <w:lvl w:ilvl="0">
      <w:start w:val="1"/>
      <w:numFmt w:val="decimal"/>
      <w:lvlText w:val="%1."/>
      <w:lvlJc w:val="left"/>
      <w:pPr>
        <w:ind w:left="360" w:hanging="360"/>
      </w:pPr>
      <w:rPr>
        <w:rFonts w:ascii="PMingLiU" w:eastAsia="PMingLiU" w:hAnsi="PMingLiU" w:cs="PMingLiU" w:hint="default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C5"/>
    <w:rsid w:val="000273DE"/>
    <w:rsid w:val="00031EF6"/>
    <w:rsid w:val="00036B3C"/>
    <w:rsid w:val="00120E21"/>
    <w:rsid w:val="00125A59"/>
    <w:rsid w:val="001301F4"/>
    <w:rsid w:val="001E4E3B"/>
    <w:rsid w:val="00236376"/>
    <w:rsid w:val="00253D26"/>
    <w:rsid w:val="00294A7D"/>
    <w:rsid w:val="002A0625"/>
    <w:rsid w:val="002C5FBB"/>
    <w:rsid w:val="003461A1"/>
    <w:rsid w:val="00377AEB"/>
    <w:rsid w:val="003C0E52"/>
    <w:rsid w:val="003C5463"/>
    <w:rsid w:val="003E7295"/>
    <w:rsid w:val="00400D36"/>
    <w:rsid w:val="004A598E"/>
    <w:rsid w:val="00514466"/>
    <w:rsid w:val="00526774"/>
    <w:rsid w:val="005407F4"/>
    <w:rsid w:val="00574C39"/>
    <w:rsid w:val="005A0C84"/>
    <w:rsid w:val="005A496E"/>
    <w:rsid w:val="005A7DC3"/>
    <w:rsid w:val="005F216A"/>
    <w:rsid w:val="0060686B"/>
    <w:rsid w:val="00651414"/>
    <w:rsid w:val="006B478E"/>
    <w:rsid w:val="00745D2D"/>
    <w:rsid w:val="00777271"/>
    <w:rsid w:val="007779C6"/>
    <w:rsid w:val="00780899"/>
    <w:rsid w:val="007C3BEA"/>
    <w:rsid w:val="008021C3"/>
    <w:rsid w:val="008361F4"/>
    <w:rsid w:val="00836AC5"/>
    <w:rsid w:val="008F75CC"/>
    <w:rsid w:val="00903712"/>
    <w:rsid w:val="009C7BB9"/>
    <w:rsid w:val="00A25FD7"/>
    <w:rsid w:val="00A33A1B"/>
    <w:rsid w:val="00AC5574"/>
    <w:rsid w:val="00AD6540"/>
    <w:rsid w:val="00AF0681"/>
    <w:rsid w:val="00CC2232"/>
    <w:rsid w:val="00D06A2E"/>
    <w:rsid w:val="00D51022"/>
    <w:rsid w:val="00D60B5B"/>
    <w:rsid w:val="00E210F5"/>
    <w:rsid w:val="00EE613F"/>
    <w:rsid w:val="00EF6E02"/>
    <w:rsid w:val="00F00487"/>
    <w:rsid w:val="00F03C7B"/>
    <w:rsid w:val="00F22A90"/>
    <w:rsid w:val="00F737EC"/>
    <w:rsid w:val="00F914F1"/>
    <w:rsid w:val="00F96C9F"/>
    <w:rsid w:val="00F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D962B-702A-4763-B603-B7EA3DFD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6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3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C7B"/>
  </w:style>
  <w:style w:type="paragraph" w:styleId="a6">
    <w:name w:val="footer"/>
    <w:basedOn w:val="a"/>
    <w:link w:val="a7"/>
    <w:uiPriority w:val="99"/>
    <w:unhideWhenUsed/>
    <w:rsid w:val="00F03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C7B"/>
  </w:style>
  <w:style w:type="character" w:styleId="a8">
    <w:name w:val="annotation reference"/>
    <w:basedOn w:val="a0"/>
    <w:uiPriority w:val="99"/>
    <w:semiHidden/>
    <w:unhideWhenUsed/>
    <w:rsid w:val="00AC55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C557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C5574"/>
  </w:style>
  <w:style w:type="paragraph" w:styleId="ab">
    <w:name w:val="annotation subject"/>
    <w:basedOn w:val="a9"/>
    <w:next w:val="a9"/>
    <w:link w:val="ac"/>
    <w:uiPriority w:val="99"/>
    <w:semiHidden/>
    <w:unhideWhenUsed/>
    <w:rsid w:val="00AC557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C557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C5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C55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BFEE6B550B48A0B1C239B77D3D95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3E8709-D88A-4D38-9120-8E25180BA85B}"/>
      </w:docPartPr>
      <w:docPartBody>
        <w:p w:rsidR="00F02B4B" w:rsidRDefault="007C3934" w:rsidP="007C3934">
          <w:pPr>
            <w:pStyle w:val="A9BFEE6B550B48A0B1C239B77D3D9530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ja-JP"/>
            </w:rPr>
            <w:t>日付</w:t>
          </w: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34"/>
    <w:rsid w:val="00064F7E"/>
    <w:rsid w:val="001A74B7"/>
    <w:rsid w:val="007C3934"/>
    <w:rsid w:val="00CB291F"/>
    <w:rsid w:val="00DE3136"/>
    <w:rsid w:val="00F02B4B"/>
    <w:rsid w:val="00F07927"/>
    <w:rsid w:val="00F1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7F9BEB26BF4FD1973792C07523144A">
    <w:name w:val="BD7F9BEB26BF4FD1973792C07523144A"/>
    <w:rsid w:val="007C3934"/>
    <w:pPr>
      <w:widowControl w:val="0"/>
      <w:jc w:val="both"/>
    </w:pPr>
  </w:style>
  <w:style w:type="paragraph" w:customStyle="1" w:styleId="A9BFEE6B550B48A0B1C239B77D3D9530">
    <w:name w:val="A9BFEE6B550B48A0B1C239B77D3D9530"/>
    <w:rsid w:val="007C393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2020-04-27T00:00:00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TingYa</dc:creator>
  <cp:keywords/>
  <dc:description/>
  <cp:lastModifiedBy>Tsai Yi Rong</cp:lastModifiedBy>
  <cp:revision>10</cp:revision>
  <dcterms:created xsi:type="dcterms:W3CDTF">2020-04-27T07:03:00Z</dcterms:created>
  <dcterms:modified xsi:type="dcterms:W3CDTF">2020-04-29T07:53:00Z</dcterms:modified>
</cp:coreProperties>
</file>